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AD" w:rsidRDefault="00C84CAD" w:rsidP="00C84CAD">
      <w:pPr>
        <w:pStyle w:val="ConsPlusNormal"/>
      </w:pPr>
    </w:p>
    <w:p w:rsidR="00C84CAD" w:rsidRDefault="00C84CAD" w:rsidP="00C84CAD">
      <w:pPr>
        <w:pStyle w:val="ConsPlusNormal"/>
      </w:pPr>
    </w:p>
    <w:p w:rsidR="00C84CAD" w:rsidRDefault="00C84CAD" w:rsidP="00C84CAD">
      <w:pPr>
        <w:pStyle w:val="ConsPlusNormal"/>
      </w:pPr>
    </w:p>
    <w:p w:rsidR="00C84CAD" w:rsidRDefault="00C84CAD" w:rsidP="00C84CAD">
      <w:pPr>
        <w:pStyle w:val="ConsPlusNormal"/>
      </w:pPr>
    </w:p>
    <w:p w:rsidR="00C84CAD" w:rsidRDefault="00C84CAD" w:rsidP="00C84CAD">
      <w:pPr>
        <w:pStyle w:val="ConsPlusNormal"/>
      </w:pPr>
    </w:p>
    <w:p w:rsidR="00C84CAD" w:rsidRDefault="00C84CAD" w:rsidP="00C84CAD">
      <w:pPr>
        <w:pStyle w:val="ConsPlusNormal"/>
        <w:jc w:val="right"/>
        <w:outlineLvl w:val="0"/>
      </w:pPr>
      <w:r>
        <w:t>Приложение 13</w:t>
      </w:r>
    </w:p>
    <w:p w:rsidR="00C84CAD" w:rsidRDefault="00C84CAD" w:rsidP="00C84CAD">
      <w:pPr>
        <w:pStyle w:val="ConsPlusNormal"/>
        <w:jc w:val="right"/>
      </w:pPr>
      <w:r>
        <w:t>к решению</w:t>
      </w:r>
    </w:p>
    <w:p w:rsidR="00C84CAD" w:rsidRDefault="00C84CAD" w:rsidP="00C84CAD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C84CAD" w:rsidRDefault="00C84CAD" w:rsidP="00C84CAD">
      <w:pPr>
        <w:pStyle w:val="ConsPlusNormal"/>
        <w:jc w:val="right"/>
      </w:pPr>
      <w:r>
        <w:t>от 25.12.2024 N 1212</w:t>
      </w:r>
    </w:p>
    <w:p w:rsidR="00C84CAD" w:rsidRDefault="00C84CAD" w:rsidP="00C84CAD">
      <w:pPr>
        <w:pStyle w:val="ConsPlusNormal"/>
      </w:pPr>
    </w:p>
    <w:p w:rsidR="00C84CAD" w:rsidRDefault="00C84CAD" w:rsidP="00C84CAD">
      <w:pPr>
        <w:pStyle w:val="ConsPlusTitle"/>
        <w:jc w:val="center"/>
      </w:pPr>
      <w:bookmarkStart w:id="0" w:name="P52169"/>
      <w:bookmarkEnd w:id="0"/>
      <w:r>
        <w:t>РАСПРЕДЕЛЕНИЕ</w:t>
      </w:r>
    </w:p>
    <w:p w:rsidR="00C84CAD" w:rsidRDefault="00C84CAD" w:rsidP="00C84CAD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C84CAD" w:rsidRDefault="00C84CAD" w:rsidP="00C84CAD">
      <w:pPr>
        <w:pStyle w:val="ConsPlusTitle"/>
        <w:jc w:val="center"/>
      </w:pPr>
      <w:r>
        <w:t>КОНДИНСКОГО РАЙОНА НА 2027 ГОД</w:t>
      </w:r>
    </w:p>
    <w:p w:rsidR="00C84CAD" w:rsidRDefault="00C84CAD" w:rsidP="00C84CAD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C84CAD" w:rsidTr="00CF6C5A">
        <w:tc>
          <w:tcPr>
            <w:tcW w:w="2665" w:type="dxa"/>
            <w:tcBorders>
              <w:top w:val="nil"/>
            </w:tcBorders>
          </w:tcPr>
          <w:p w:rsidR="00C84CAD" w:rsidRDefault="00C84CAD" w:rsidP="00CF6C5A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C84CAD" w:rsidRDefault="00C84CAD" w:rsidP="00CF6C5A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C84CAD" w:rsidRDefault="00C84CAD" w:rsidP="00CF6C5A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C84CAD" w:rsidRDefault="00C84CAD" w:rsidP="00CF6C5A">
            <w:pPr>
              <w:pStyle w:val="ConsPlusNormal"/>
              <w:jc w:val="right"/>
            </w:pPr>
          </w:p>
        </w:tc>
        <w:tc>
          <w:tcPr>
            <w:tcW w:w="14853" w:type="dxa"/>
            <w:gridSpan w:val="10"/>
            <w:tcBorders>
              <w:top w:val="nil"/>
            </w:tcBorders>
          </w:tcPr>
          <w:p w:rsidR="00C84CAD" w:rsidRDefault="00C84CAD" w:rsidP="00CF6C5A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C84CAD" w:rsidRDefault="00C84CAD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>ЦСР Имя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  <w:jc w:val="center"/>
            </w:pPr>
            <w:r>
              <w:t>Всего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801629,45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 xml:space="preserve">Комплексы процессных </w:t>
            </w:r>
            <w:r>
              <w:lastRenderedPageBreak/>
              <w:t>мероприятий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0140000000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801629,45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0140159300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109722,89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81654,24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58688,99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114826,28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24241,10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43378,82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16586,02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91861,02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42102,97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583062,33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</w:t>
            </w:r>
            <w:r>
              <w:lastRenderedPageBreak/>
              <w:t>Мансийского автономного округа - Югры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41130,79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30608,96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22000,19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43043,85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9087,04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16261,01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6217,45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34435,08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15782,75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218567,12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2930000,00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2930000,00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2930000,00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lastRenderedPageBreak/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</w:t>
            </w:r>
            <w:r>
              <w:lastRenderedPageBreak/>
              <w:t>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24070,00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213200,00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213200,00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213200,00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</w:t>
            </w:r>
            <w:r>
              <w:lastRenderedPageBreak/>
              <w:t>"Пространственное развитие и формирование комфортной городской среды"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</w:t>
            </w:r>
            <w:r>
              <w:lastRenderedPageBreak/>
              <w:t>"Развитие жилищно-коммунального комплекса"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1200000000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</w:t>
            </w:r>
            <w:r>
              <w:lastRenderedPageBreak/>
              <w:t>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11858400,00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11858400,00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</w:t>
            </w:r>
            <w:r>
              <w:lastRenderedPageBreak/>
              <w:t>малого и среднего предпринимательства, организациям бюджетной сферы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11858400,00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7506960,00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7506960,00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7506960,00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дорожного хозяйства"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1800000000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198026844,72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198026844,72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677644,72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</w:t>
            </w:r>
            <w:r>
              <w:lastRenderedPageBreak/>
              <w:t>Ханты-Мансийского автономного округа - Югры)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197349200,00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301558200,00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301558200,00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 xml:space="preserve">Дотация на выравнивание бюджетной </w:t>
            </w:r>
            <w:r>
              <w:lastRenderedPageBreak/>
              <w:t>обеспеченности поселений, входящих в состав муниципальных районов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 xml:space="preserve">Дотации на выравнивание </w:t>
            </w:r>
            <w:r>
              <w:lastRenderedPageBreak/>
              <w:t>бюджетной обеспеченности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28128300,00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293652600,00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12517,58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7893082,42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7905600,00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6421200,00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 xml:space="preserve">Осуществление первичного воинского учета органами </w:t>
            </w:r>
            <w:r>
              <w:lastRenderedPageBreak/>
              <w:t>местного самоуправления поселений, муниципальных и городских округов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6421200,00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293652600,00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5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1123753,68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1085163,20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469889,18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1130770,13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1006228,14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1032539,83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411903,47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515496,10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447085,72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7222829,45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lastRenderedPageBreak/>
              <w:t>Итого иных межбюджетных трансфертов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1330363,94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833854,00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456590,00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172054698,00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16011606,00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1566902,00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14538630,00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20530350,78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565360,00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552650,00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228441004,72</w:t>
            </w:r>
          </w:p>
        </w:tc>
      </w:tr>
      <w:tr w:rsidR="00C84CAD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C84CAD" w:rsidRDefault="00C84CAD" w:rsidP="00CF6C5A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</w:p>
        </w:tc>
        <w:tc>
          <w:tcPr>
            <w:tcW w:w="1871" w:type="dxa"/>
          </w:tcPr>
          <w:p w:rsidR="00C84CAD" w:rsidRDefault="00C84CAD" w:rsidP="00CF6C5A">
            <w:pPr>
              <w:pStyle w:val="ConsPlusNormal"/>
            </w:pP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30582417,62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30004317,20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21836679,18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227442098,00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72834276,13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38942330,14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50049169,83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37761454,25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10614056,10</w:t>
            </w:r>
          </w:p>
        </w:tc>
        <w:tc>
          <w:tcPr>
            <w:tcW w:w="1474" w:type="dxa"/>
          </w:tcPr>
          <w:p w:rsidR="00C84CAD" w:rsidRDefault="00C84CAD" w:rsidP="00CF6C5A">
            <w:pPr>
              <w:pStyle w:val="ConsPlusNormal"/>
            </w:pPr>
            <w:r>
              <w:t>9249635,72</w:t>
            </w:r>
          </w:p>
        </w:tc>
        <w:tc>
          <w:tcPr>
            <w:tcW w:w="1587" w:type="dxa"/>
          </w:tcPr>
          <w:p w:rsidR="00C84CAD" w:rsidRDefault="00C84CAD" w:rsidP="00CF6C5A">
            <w:pPr>
              <w:pStyle w:val="ConsPlusNormal"/>
            </w:pPr>
            <w:r>
              <w:t>529316434,17</w:t>
            </w:r>
          </w:p>
        </w:tc>
      </w:tr>
    </w:tbl>
    <w:p w:rsidR="00C84CAD" w:rsidRDefault="00C84CAD" w:rsidP="00C84CAD"/>
    <w:p w:rsidR="00F0724A" w:rsidRDefault="00F0724A">
      <w:bookmarkStart w:id="1" w:name="_GoBack"/>
      <w:bookmarkEnd w:id="1"/>
    </w:p>
    <w:sectPr w:rsidR="00F0724A" w:rsidSect="00BF00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6D7"/>
    <w:rsid w:val="004D76D7"/>
    <w:rsid w:val="00C84CA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C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84C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C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84C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374&amp;dst=2141" TargetMode="External"/><Relationship Id="rId5" Type="http://schemas.openxmlformats.org/officeDocument/2006/relationships/hyperlink" Target="https://login.consultant.ru/link/?req=doc&amp;base=LAW&amp;n=508374&amp;dst=20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2025-06-19T06:19:00Z</dcterms:created>
  <dcterms:modified xsi:type="dcterms:W3CDTF">2025-06-19T06:19:00Z</dcterms:modified>
</cp:coreProperties>
</file>